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4248"/>
        <w:gridCol w:w="5400"/>
      </w:tblGrid>
      <w:tr>
        <w:tc>
          <w:tcPr>
            <w:tcW w:type="dxa" w:w="4248"/>
            <w:shd w:fill="auto" w:val="clear"/>
          </w:tcPr>
          <w:p w14:paraId="02000000">
            <w:pPr>
              <w:rPr>
                <w:sz w:val="28"/>
              </w:rPr>
            </w:pPr>
          </w:p>
        </w:tc>
        <w:tc>
          <w:tcPr>
            <w:tcW w:type="dxa" w:w="5400"/>
            <w:shd w:fill="auto" w:val="clear"/>
          </w:tcPr>
          <w:p w14:paraId="03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Приложение 1</w:t>
            </w:r>
          </w:p>
          <w:p w14:paraId="04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к приказу Главного управления по труду и   занятости населения Тверской области </w:t>
            </w:r>
          </w:p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от 03.07.2025 №121</w:t>
            </w:r>
          </w:p>
        </w:tc>
      </w:tr>
    </w:tbl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pStyle w:val="Style_2"/>
        <w:ind w:firstLine="0" w:left="-851" w:right="-426"/>
        <w:jc w:val="center"/>
        <w:rPr>
          <w:sz w:val="28"/>
        </w:rPr>
      </w:pPr>
      <w:r>
        <w:rPr>
          <w:sz w:val="28"/>
        </w:rPr>
        <w:t xml:space="preserve">Положение </w:t>
      </w:r>
      <w:r>
        <w:rPr>
          <w:sz w:val="28"/>
        </w:rPr>
        <w:br/>
      </w:r>
      <w:r>
        <w:rPr>
          <w:sz w:val="28"/>
        </w:rPr>
        <w:t>о</w:t>
      </w:r>
      <w:r>
        <w:rPr>
          <w:color w:val="000000"/>
          <w:sz w:val="28"/>
        </w:rPr>
        <w:t xml:space="preserve"> проведении регионального этапа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Национальной премии «Человек труда</w:t>
      </w:r>
      <w:r>
        <w:rPr>
          <w:color w:val="000000"/>
          <w:sz w:val="28"/>
        </w:rPr>
        <w:t>»</w:t>
      </w:r>
    </w:p>
    <w:p w14:paraId="09000000">
      <w:pPr>
        <w:rPr>
          <w:sz w:val="28"/>
        </w:rPr>
      </w:pP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I.</w:t>
      </w:r>
      <w:r>
        <w:rPr>
          <w:b w:val="1"/>
          <w:sz w:val="28"/>
        </w:rPr>
        <w:t xml:space="preserve"> 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pStyle w:val="Style_2"/>
        <w:ind w:firstLine="567" w:left="0" w:right="-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 xml:space="preserve">Настоящее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оложение о проведении </w:t>
      </w:r>
      <w:r>
        <w:rPr>
          <w:color w:val="000000"/>
          <w:sz w:val="28"/>
        </w:rPr>
        <w:t>регионального этапа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Национальной премии «Человек труда» </w:t>
      </w:r>
      <w:r>
        <w:rPr>
          <w:color w:val="000000"/>
          <w:sz w:val="28"/>
        </w:rPr>
        <w:t xml:space="preserve">(далее — </w:t>
      </w:r>
      <w:r>
        <w:rPr>
          <w:color w:val="000000"/>
          <w:sz w:val="28"/>
        </w:rPr>
        <w:t>Премия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определяет цели, порядок и условия проведения </w:t>
      </w:r>
      <w:r>
        <w:rPr>
          <w:color w:val="000000"/>
          <w:sz w:val="28"/>
        </w:rPr>
        <w:t>Премии</w:t>
      </w:r>
      <w:r>
        <w:rPr>
          <w:color w:val="000000"/>
          <w:sz w:val="28"/>
        </w:rPr>
        <w:t xml:space="preserve">. </w:t>
      </w:r>
    </w:p>
    <w:p w14:paraId="0E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Цели Премии:</w:t>
      </w:r>
    </w:p>
    <w:p w14:paraId="0F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Повышение престижа инженерных и рабочих профессий  и формирование устойчивого желания жить и работать в России.</w:t>
      </w:r>
    </w:p>
    <w:p w14:paraId="10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Задачи Премии:</w:t>
      </w:r>
    </w:p>
    <w:p w14:paraId="11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 Популяризация честного, самоотверженного труда.</w:t>
      </w:r>
    </w:p>
    <w:p w14:paraId="12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Повышение престижа рабочих профессий.</w:t>
      </w:r>
    </w:p>
    <w:p w14:paraId="13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Стимулирование молодежи к профессиональному росту.</w:t>
      </w:r>
    </w:p>
    <w:p w14:paraId="14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3.4. Поощрение опытных специалистов за наставничество.</w:t>
      </w:r>
    </w:p>
    <w:p w14:paraId="15000000">
      <w:pPr>
        <w:pStyle w:val="Style_3"/>
        <w:spacing w:after="0" w:line="240" w:lineRule="auto"/>
        <w:ind w:firstLine="207"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3.5. Внедрение инновационных технологий, повышающих эффективность производства, а также разработка новых продуктов и решений.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II.</w:t>
      </w:r>
      <w:r>
        <w:rPr>
          <w:b w:val="1"/>
          <w:sz w:val="28"/>
        </w:rPr>
        <w:t xml:space="preserve"> </w:t>
      </w: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Учредитель и организатор</w:t>
      </w:r>
      <w:r>
        <w:rPr>
          <w:b w:val="1"/>
          <w:sz w:val="28"/>
        </w:rPr>
        <w:t xml:space="preserve"> Премии</w:t>
      </w:r>
    </w:p>
    <w:p w14:paraId="19000000">
      <w:pPr>
        <w:ind/>
        <w:jc w:val="center"/>
        <w:rPr>
          <w:b w:val="1"/>
          <w:sz w:val="28"/>
        </w:rPr>
      </w:pPr>
    </w:p>
    <w:p w14:paraId="1A000000">
      <w:pPr>
        <w:ind w:firstLine="567" w:left="0"/>
        <w:jc w:val="both"/>
        <w:rPr>
          <w:b w:val="1"/>
          <w:sz w:val="28"/>
        </w:rPr>
      </w:pPr>
      <w:r>
        <w:rPr>
          <w:sz w:val="28"/>
        </w:rPr>
        <w:t>4.</w:t>
      </w:r>
      <w:r>
        <w:rPr>
          <w:rFonts w:ascii="XO Thames" w:hAnsi="XO Thames"/>
          <w:sz w:val="28"/>
        </w:rPr>
        <w:t> </w:t>
      </w:r>
      <w:r>
        <w:rPr>
          <w:sz w:val="28"/>
        </w:rPr>
        <w:t xml:space="preserve">Организатором </w:t>
      </w:r>
      <w:r>
        <w:rPr>
          <w:sz w:val="28"/>
        </w:rPr>
        <w:t>Премии</w:t>
      </w:r>
      <w:r>
        <w:rPr>
          <w:sz w:val="28"/>
        </w:rPr>
        <w:t xml:space="preserve"> </w:t>
      </w:r>
      <w:r>
        <w:rPr>
          <w:sz w:val="28"/>
        </w:rPr>
        <w:t>являю</w:t>
      </w:r>
      <w:r>
        <w:rPr>
          <w:sz w:val="28"/>
        </w:rPr>
        <w:t xml:space="preserve">тся </w:t>
      </w:r>
      <w:r>
        <w:rPr>
          <w:sz w:val="28"/>
        </w:rPr>
        <w:t>Всероссийская политическая партия ЕДИНАЯ РОССИЯ в рамках Федерального проекта «Выбирай своё» совместно с Ассоциацией разработчиков, изготовителей и поставщиков</w:t>
      </w:r>
      <w:r>
        <w:rPr>
          <w:sz w:val="28"/>
        </w:rPr>
        <w:t xml:space="preserve"> средств индивидуальной защиты </w:t>
      </w:r>
      <w:r>
        <w:rPr>
          <w:sz w:val="28"/>
        </w:rPr>
        <w:t xml:space="preserve">(далее – </w:t>
      </w:r>
      <w:r>
        <w:rPr>
          <w:sz w:val="28"/>
        </w:rPr>
        <w:t>О</w:t>
      </w:r>
      <w:r>
        <w:rPr>
          <w:sz w:val="28"/>
        </w:rPr>
        <w:t>рганизаторы</w:t>
      </w:r>
      <w:r>
        <w:rPr>
          <w:sz w:val="28"/>
        </w:rPr>
        <w:t>)</w:t>
      </w:r>
      <w:r>
        <w:rPr>
          <w:sz w:val="28"/>
        </w:rPr>
        <w:t>. Со организатором</w:t>
      </w:r>
      <w:r>
        <w:rPr>
          <w:sz w:val="28"/>
        </w:rPr>
        <w:t xml:space="preserve"> </w:t>
      </w:r>
      <w:r>
        <w:rPr>
          <w:sz w:val="28"/>
        </w:rPr>
        <w:t>Премии</w:t>
      </w:r>
      <w:r>
        <w:rPr>
          <w:sz w:val="28"/>
        </w:rPr>
        <w:t xml:space="preserve"> </w:t>
      </w:r>
      <w:r>
        <w:rPr>
          <w:sz w:val="28"/>
        </w:rPr>
        <w:t>в Тверской области</w:t>
      </w:r>
      <w:r>
        <w:rPr>
          <w:sz w:val="28"/>
        </w:rPr>
        <w:t xml:space="preserve"> является Главное управление по труду и занятости населения Тверской области</w:t>
      </w:r>
      <w:r>
        <w:rPr>
          <w:sz w:val="28"/>
        </w:rPr>
        <w:t xml:space="preserve"> (далее – Главное управление)</w:t>
      </w:r>
      <w:r>
        <w:rPr>
          <w:sz w:val="28"/>
        </w:rPr>
        <w:t xml:space="preserve">. </w:t>
      </w:r>
    </w:p>
    <w:p w14:paraId="1B000000">
      <w:pPr>
        <w:ind/>
        <w:jc w:val="center"/>
        <w:rPr>
          <w:color w:val="FF0000"/>
          <w:sz w:val="28"/>
        </w:rPr>
      </w:pPr>
    </w:p>
    <w:p w14:paraId="1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III</w:t>
      </w:r>
      <w:r>
        <w:rPr>
          <w:b w:val="1"/>
          <w:sz w:val="28"/>
        </w:rPr>
        <w:t xml:space="preserve">. </w:t>
      </w:r>
    </w:p>
    <w:p w14:paraId="1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Оргкомитета</w:t>
      </w:r>
    </w:p>
    <w:p w14:paraId="1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F000000">
      <w:pPr>
        <w:ind w:firstLine="567" w:left="0"/>
        <w:jc w:val="both"/>
        <w:rPr>
          <w:b w:val="1"/>
          <w:sz w:val="28"/>
        </w:rPr>
      </w:pPr>
      <w:r>
        <w:rPr>
          <w:color w:val="000000"/>
          <w:sz w:val="28"/>
        </w:rPr>
        <w:t xml:space="preserve">5. Состав </w:t>
      </w:r>
      <w:r>
        <w:rPr>
          <w:color w:val="000000"/>
          <w:sz w:val="28"/>
        </w:rPr>
        <w:t xml:space="preserve">Оргкомитета </w:t>
      </w:r>
      <w:r>
        <w:rPr>
          <w:color w:val="000000"/>
          <w:sz w:val="28"/>
        </w:rPr>
        <w:t>по проведению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регионального этапа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Национальной премии «Человек труда»</w:t>
      </w:r>
      <w:r>
        <w:rPr>
          <w:color w:val="000000"/>
          <w:sz w:val="28"/>
        </w:rPr>
        <w:t xml:space="preserve"> назначается из числа руководителей и </w:t>
      </w:r>
      <w:r>
        <w:rPr>
          <w:color w:val="000000"/>
          <w:sz w:val="28"/>
        </w:rPr>
        <w:t xml:space="preserve">специалистов Главного управления. По согласованию в состав </w:t>
      </w:r>
      <w:r>
        <w:rPr>
          <w:color w:val="000000"/>
          <w:sz w:val="28"/>
        </w:rPr>
        <w:t>Оргкомитета</w:t>
      </w:r>
      <w:r>
        <w:rPr>
          <w:color w:val="000000"/>
          <w:sz w:val="28"/>
        </w:rPr>
        <w:t xml:space="preserve"> входят представители Федерации Тверских профсоюзов, </w:t>
      </w:r>
      <w:r>
        <w:rPr>
          <w:color w:val="000000"/>
          <w:sz w:val="28"/>
        </w:rPr>
        <w:t>органов исполнительной власти</w:t>
      </w:r>
      <w:r>
        <w:rPr>
          <w:color w:val="000000"/>
          <w:sz w:val="28"/>
        </w:rPr>
        <w:t xml:space="preserve"> и объединения работодателей.</w:t>
      </w:r>
      <w:r>
        <w:rPr>
          <w:b w:val="1"/>
          <w:color w:val="000000"/>
          <w:sz w:val="28"/>
        </w:rPr>
        <w:t xml:space="preserve"> </w:t>
      </w:r>
    </w:p>
    <w:p w14:paraId="20000000">
      <w:pPr>
        <w:pStyle w:val="Style_2"/>
        <w:ind w:firstLine="567" w:left="0" w:right="-2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Оргкомитет</w:t>
      </w:r>
      <w:r>
        <w:rPr>
          <w:color w:val="000000"/>
          <w:sz w:val="28"/>
        </w:rPr>
        <w:t xml:space="preserve"> создается в составе председателя, заместителя председателя и членов комиссии, общей численностью не менее 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человек.</w:t>
      </w:r>
    </w:p>
    <w:p w14:paraId="21000000">
      <w:pPr>
        <w:pStyle w:val="Style_2"/>
        <w:ind w:firstLine="567" w:left="0" w:right="-2"/>
        <w:jc w:val="both"/>
        <w:rPr>
          <w:color w:val="000000"/>
          <w:sz w:val="28"/>
        </w:rPr>
      </w:pPr>
      <w:r>
        <w:rPr>
          <w:sz w:val="28"/>
        </w:rPr>
        <w:t xml:space="preserve">7. В своей деятельности </w:t>
      </w:r>
      <w:r>
        <w:rPr>
          <w:sz w:val="28"/>
        </w:rPr>
        <w:t xml:space="preserve">Оргкомитет </w:t>
      </w:r>
      <w:r>
        <w:rPr>
          <w:sz w:val="28"/>
        </w:rPr>
        <w:t>руководствуются настоящим П</w:t>
      </w:r>
      <w:r>
        <w:rPr>
          <w:sz w:val="28"/>
        </w:rPr>
        <w:t>ол</w:t>
      </w:r>
      <w:r>
        <w:rPr>
          <w:sz w:val="28"/>
        </w:rPr>
        <w:t>о</w:t>
      </w:r>
      <w:r>
        <w:rPr>
          <w:sz w:val="28"/>
        </w:rPr>
        <w:t>жением.</w:t>
      </w:r>
    </w:p>
    <w:p w14:paraId="22000000">
      <w:pPr>
        <w:pStyle w:val="Style_2"/>
        <w:ind w:firstLine="567" w:left="0" w:right="-2"/>
        <w:jc w:val="both"/>
        <w:rPr>
          <w:color w:val="000000"/>
          <w:sz w:val="28"/>
        </w:rPr>
      </w:pPr>
      <w:r>
        <w:rPr>
          <w:sz w:val="28"/>
        </w:rPr>
        <w:t xml:space="preserve">8. Заседание </w:t>
      </w:r>
      <w:r>
        <w:rPr>
          <w:sz w:val="28"/>
        </w:rPr>
        <w:t>Оргкомитета</w:t>
      </w:r>
      <w:r>
        <w:rPr>
          <w:sz w:val="28"/>
        </w:rPr>
        <w:t xml:space="preserve"> </w:t>
      </w:r>
      <w:r>
        <w:rPr>
          <w:sz w:val="28"/>
        </w:rPr>
        <w:t>считается правомочным, если на нем присутс</w:t>
      </w:r>
      <w:r>
        <w:rPr>
          <w:sz w:val="28"/>
        </w:rPr>
        <w:t>т</w:t>
      </w:r>
      <w:r>
        <w:rPr>
          <w:sz w:val="28"/>
        </w:rPr>
        <w:t xml:space="preserve">вуют более половины ее членов. Передача членом </w:t>
      </w:r>
      <w:r>
        <w:rPr>
          <w:sz w:val="28"/>
        </w:rPr>
        <w:t>Оргкомитета</w:t>
      </w:r>
      <w:r>
        <w:rPr>
          <w:sz w:val="28"/>
        </w:rPr>
        <w:t xml:space="preserve"> своих по</w:t>
      </w:r>
      <w:r>
        <w:rPr>
          <w:sz w:val="28"/>
        </w:rPr>
        <w:t>л</w:t>
      </w:r>
      <w:r>
        <w:rPr>
          <w:sz w:val="28"/>
        </w:rPr>
        <w:t xml:space="preserve">номочий другому лицу не допускается. </w:t>
      </w:r>
    </w:p>
    <w:p w14:paraId="23000000">
      <w:pPr>
        <w:pStyle w:val="Style_2"/>
        <w:ind w:firstLine="567" w:left="0" w:right="-2"/>
        <w:jc w:val="both"/>
        <w:rPr>
          <w:color w:val="000000"/>
          <w:sz w:val="28"/>
        </w:rPr>
      </w:pPr>
      <w:r>
        <w:rPr>
          <w:sz w:val="28"/>
        </w:rPr>
        <w:t>9.</w:t>
      </w:r>
      <w:r>
        <w:rPr>
          <w:sz w:val="28"/>
        </w:rPr>
        <w:t xml:space="preserve"> </w:t>
      </w:r>
      <w:r>
        <w:rPr>
          <w:sz w:val="28"/>
        </w:rPr>
        <w:t xml:space="preserve">Решения </w:t>
      </w:r>
      <w:r>
        <w:rPr>
          <w:sz w:val="28"/>
        </w:rPr>
        <w:t>Оргкомитета</w:t>
      </w:r>
      <w:r>
        <w:rPr>
          <w:sz w:val="28"/>
        </w:rPr>
        <w:t xml:space="preserve"> </w:t>
      </w:r>
      <w:r>
        <w:rPr>
          <w:sz w:val="28"/>
        </w:rPr>
        <w:t>принимаются простым бол</w:t>
      </w:r>
      <w:r>
        <w:rPr>
          <w:sz w:val="28"/>
        </w:rPr>
        <w:t>ь</w:t>
      </w:r>
      <w:r>
        <w:rPr>
          <w:sz w:val="28"/>
        </w:rPr>
        <w:t>шинством голосов членов, присутству</w:t>
      </w:r>
      <w:r>
        <w:rPr>
          <w:sz w:val="28"/>
        </w:rPr>
        <w:t>ю</w:t>
      </w:r>
      <w:r>
        <w:rPr>
          <w:sz w:val="28"/>
        </w:rPr>
        <w:t>щих на заседании</w:t>
      </w:r>
      <w:r>
        <w:rPr>
          <w:sz w:val="28"/>
        </w:rPr>
        <w:t xml:space="preserve"> и оформляется протоколом.</w:t>
      </w:r>
      <w:r>
        <w:rPr>
          <w:sz w:val="28"/>
        </w:rPr>
        <w:t xml:space="preserve"> При равенстве голосов голос </w:t>
      </w:r>
      <w:r>
        <w:rPr>
          <w:sz w:val="28"/>
        </w:rPr>
        <w:t>п</w:t>
      </w:r>
      <w:r>
        <w:rPr>
          <w:sz w:val="28"/>
        </w:rPr>
        <w:t>редседателя является решающим</w:t>
      </w:r>
      <w:r>
        <w:rPr>
          <w:sz w:val="28"/>
        </w:rPr>
        <w:t>.</w:t>
      </w:r>
    </w:p>
    <w:p w14:paraId="24000000">
      <w:pPr>
        <w:ind/>
        <w:jc w:val="center"/>
        <w:rPr>
          <w:color w:val="FF0000"/>
          <w:sz w:val="28"/>
        </w:rPr>
      </w:pPr>
    </w:p>
    <w:p w14:paraId="2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IV.</w:t>
      </w:r>
    </w:p>
    <w:p w14:paraId="2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Условия участия в Премии</w:t>
      </w:r>
    </w:p>
    <w:p w14:paraId="27000000">
      <w:pPr>
        <w:ind/>
        <w:jc w:val="center"/>
        <w:rPr>
          <w:b w:val="1"/>
          <w:sz w:val="28"/>
        </w:rPr>
      </w:pPr>
    </w:p>
    <w:p w14:paraId="28000000">
      <w:pPr>
        <w:ind w:firstLine="567" w:left="0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10. </w:t>
      </w:r>
      <w:r>
        <w:rPr>
          <w:b w:val="0"/>
          <w:sz w:val="28"/>
        </w:rPr>
        <w:t>Участие в Премии является добровольным и бесплатным.</w:t>
      </w:r>
    </w:p>
    <w:p w14:paraId="29000000">
      <w:pPr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11.</w:t>
      </w:r>
      <w:r>
        <w:rPr>
          <w:rFonts w:ascii="XO Thames" w:hAnsi="XO Thames"/>
          <w:b w:val="0"/>
          <w:sz w:val="28"/>
        </w:rPr>
        <w:t> </w:t>
      </w:r>
      <w:r>
        <w:rPr>
          <w:b w:val="0"/>
          <w:sz w:val="28"/>
        </w:rPr>
        <w:t>Участниками Премии могут выступать работники предприятий и организаций, зарегистрированных на территории Тверской области.</w:t>
      </w:r>
    </w:p>
    <w:p w14:paraId="2A000000">
      <w:pPr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12.</w:t>
      </w:r>
      <w:r>
        <w:rPr>
          <w:b w:val="0"/>
          <w:sz w:val="28"/>
        </w:rPr>
        <w:t> </w:t>
      </w:r>
      <w:r>
        <w:rPr>
          <w:b w:val="0"/>
          <w:sz w:val="28"/>
        </w:rPr>
        <w:t>Участники Премии выдвигаются предприятиями, организациями, профсоюзами, трудовыми коллективами ( далее – Инициаторы) путем подачи заявок в региональный Оргкомитет  Премии.</w:t>
      </w:r>
    </w:p>
    <w:p w14:paraId="2B000000">
      <w:pPr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12.1. Гражданин Российской Федерации имеет право лично обратиться с заявкой на участие в Премии в региональный Оргкомитет по месту регистрации и/или трудовой деятельности.</w:t>
      </w:r>
    </w:p>
    <w:p w14:paraId="2C000000">
      <w:pPr>
        <w:ind/>
        <w:jc w:val="center"/>
        <w:rPr>
          <w:b w:val="1"/>
          <w:sz w:val="28"/>
        </w:rPr>
      </w:pPr>
    </w:p>
    <w:p w14:paraId="2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V.</w:t>
      </w:r>
    </w:p>
    <w:p w14:paraId="2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П</w:t>
      </w:r>
      <w:r>
        <w:rPr>
          <w:b w:val="1"/>
          <w:sz w:val="28"/>
        </w:rPr>
        <w:t>орядок организации и проведения Премии</w:t>
      </w:r>
    </w:p>
    <w:p w14:paraId="2F000000">
      <w:pPr>
        <w:tabs>
          <w:tab w:leader="none" w:pos="2097" w:val="left"/>
        </w:tabs>
        <w:ind w:firstLine="567" w:left="0"/>
        <w:jc w:val="both"/>
        <w:rPr>
          <w:sz w:val="28"/>
        </w:rPr>
      </w:pPr>
    </w:p>
    <w:p w14:paraId="30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13. </w:t>
      </w:r>
      <w:r>
        <w:rPr>
          <w:sz w:val="28"/>
        </w:rPr>
        <w:t xml:space="preserve">Отборочный этап (региональный уровень) – прием региональным Оргкомитетом заявок на участие в Премии </w:t>
      </w:r>
      <w:r>
        <w:rPr>
          <w:sz w:val="28"/>
        </w:rPr>
        <w:t>(</w:t>
      </w:r>
      <w:r>
        <w:rPr>
          <w:sz w:val="28"/>
        </w:rPr>
        <w:t xml:space="preserve">в соответствии </w:t>
      </w:r>
      <w:r>
        <w:rPr>
          <w:sz w:val="28"/>
        </w:rPr>
        <w:br/>
      </w:r>
      <w:r>
        <w:rPr>
          <w:sz w:val="28"/>
        </w:rPr>
        <w:t>с Приложени</w:t>
      </w:r>
      <w:r>
        <w:rPr>
          <w:sz w:val="28"/>
        </w:rPr>
        <w:t>ем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 xml:space="preserve"> к настоящему Положению</w:t>
      </w:r>
      <w:r>
        <w:rPr>
          <w:sz w:val="28"/>
        </w:rPr>
        <w:t xml:space="preserve">) </w:t>
      </w:r>
      <w:r>
        <w:rPr>
          <w:sz w:val="28"/>
        </w:rPr>
        <w:t xml:space="preserve"> до 15 августа текущего года </w:t>
      </w:r>
      <w:r>
        <w:rPr>
          <w:sz w:val="28"/>
        </w:rPr>
        <w:t xml:space="preserve"> </w:t>
      </w:r>
      <w:r>
        <w:rPr>
          <w:sz w:val="28"/>
        </w:rPr>
        <w:t>по адресу: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г. Тверь, ул. Вагжанова, д. 7, корп</w:t>
      </w:r>
      <w:r>
        <w:rPr>
          <w:rFonts w:ascii="XO Thames" w:hAnsi="XO Thames"/>
          <w:sz w:val="28"/>
        </w:rPr>
        <w:t>. 1</w:t>
      </w:r>
      <w:r>
        <w:rPr>
          <w:rFonts w:ascii="Times New Roman" w:hAnsi="Times New Roman"/>
          <w:sz w:val="28"/>
        </w:rPr>
        <w:t>,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каб</w:t>
      </w:r>
      <w:r>
        <w:rPr>
          <w:rFonts w:ascii="XO Thames" w:hAnsi="XO Thames"/>
          <w:sz w:val="28"/>
        </w:rPr>
        <w:t>. 412. </w:t>
      </w:r>
      <w:r>
        <w:rPr>
          <w:rFonts w:ascii="Times New Roman" w:hAnsi="Times New Roman"/>
          <w:sz w:val="28"/>
        </w:rPr>
        <w:t xml:space="preserve">Контактный телефон: </w:t>
      </w:r>
      <w:r>
        <w:rPr>
          <w:rFonts w:ascii="Times New Roman" w:hAnsi="Times New Roman"/>
          <w:sz w:val="28"/>
        </w:rPr>
        <w:t xml:space="preserve">8 </w:t>
      </w:r>
      <w:r>
        <w:rPr>
          <w:rFonts w:ascii="Times New Roman" w:hAnsi="Times New Roman"/>
          <w:sz w:val="28"/>
        </w:rPr>
        <w:t xml:space="preserve">(4822)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; адрес электронной почты: </w:t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instrText>HYPERLINK "mailto:kuznetcovaea@tverreg.ru"</w:instrText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t>krylovaea</w:t>
      </w:r>
      <w:r>
        <w:rPr>
          <w:rStyle w:val="Style_4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</w:rPr>
        <w:t>tver</w:t>
      </w:r>
      <w:r>
        <w:rPr>
          <w:rFonts w:ascii="Times New Roman" w:hAnsi="Times New Roman"/>
          <w:sz w:val="28"/>
        </w:rPr>
        <w:t>reg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sz w:val="28"/>
        </w:rPr>
        <w:t>             </w:t>
      </w:r>
    </w:p>
    <w:p w14:paraId="31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13.1.Заявка </w:t>
      </w:r>
      <w:r>
        <w:rPr>
          <w:sz w:val="28"/>
        </w:rPr>
        <w:t>должна содержать</w:t>
      </w:r>
      <w:r>
        <w:rPr>
          <w:sz w:val="28"/>
        </w:rPr>
        <w:t xml:space="preserve"> подробную информацию о достижениях кандидатов, их</w:t>
      </w:r>
      <w:r>
        <w:rPr>
          <w:sz w:val="28"/>
        </w:rPr>
        <w:t> </w:t>
      </w:r>
      <w:r>
        <w:rPr>
          <w:sz w:val="28"/>
        </w:rPr>
        <w:t>вкладе</w:t>
      </w:r>
      <w:r>
        <w:rPr>
          <w:sz w:val="28"/>
        </w:rPr>
        <w:t> </w:t>
      </w:r>
      <w:r>
        <w:rPr>
          <w:sz w:val="28"/>
        </w:rPr>
        <w:t>в</w:t>
      </w:r>
      <w:r>
        <w:rPr>
          <w:sz w:val="28"/>
        </w:rPr>
        <w:t> </w:t>
      </w:r>
      <w:r>
        <w:rPr>
          <w:sz w:val="28"/>
        </w:rPr>
        <w:t>развитие</w:t>
      </w:r>
      <w:r>
        <w:rPr>
          <w:sz w:val="28"/>
        </w:rPr>
        <w:t> </w:t>
      </w:r>
      <w:r>
        <w:rPr>
          <w:sz w:val="28"/>
        </w:rPr>
        <w:t xml:space="preserve">отрасли </w:t>
      </w:r>
      <w:r>
        <w:rPr>
          <w:sz w:val="28"/>
        </w:rPr>
        <w:t>и профессиональных успехах.</w:t>
      </w:r>
      <w:r>
        <w:rPr>
          <w:sz w:val="28"/>
        </w:rPr>
        <w:t xml:space="preserve"> </w:t>
      </w:r>
    </w:p>
    <w:p w14:paraId="32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13.2. </w:t>
      </w:r>
      <w:r>
        <w:rPr>
          <w:sz w:val="28"/>
        </w:rPr>
        <w:t xml:space="preserve">Подавая заявку и принимая участие в </w:t>
      </w:r>
      <w:r>
        <w:rPr>
          <w:sz w:val="28"/>
        </w:rPr>
        <w:t>Премии</w:t>
      </w:r>
      <w:r>
        <w:rPr>
          <w:sz w:val="28"/>
        </w:rPr>
        <w:t>, номинант соглашается, что после подведения итогов Премии с целью реализации принципа уважения к человеку труда и национальному трудовому законодательству, создания современных условий труда, основанных на безопасности и производительности, о</w:t>
      </w:r>
      <w:r>
        <w:rPr>
          <w:sz w:val="28"/>
        </w:rPr>
        <w:t>рганизаторы</w:t>
      </w:r>
      <w:r>
        <w:rPr>
          <w:sz w:val="28"/>
        </w:rPr>
        <w:t xml:space="preserve"> имеют право разместить полученные в</w:t>
      </w:r>
      <w:r>
        <w:rPr>
          <w:sz w:val="28"/>
        </w:rPr>
        <w:t xml:space="preserve"> </w:t>
      </w:r>
      <w:r>
        <w:rPr>
          <w:sz w:val="28"/>
        </w:rPr>
        <w:t xml:space="preserve">рамках проведения Премии материалы и сведения (в том числе аудио-, видео- и фотоматериалы) на </w:t>
      </w:r>
      <w:r>
        <w:rPr>
          <w:rFonts w:ascii="XO Thames" w:hAnsi="XO Thames"/>
          <w:sz w:val="28"/>
        </w:rPr>
        <w:t>интернет - ресурсах</w:t>
      </w:r>
      <w:r>
        <w:rPr>
          <w:sz w:val="28"/>
        </w:rPr>
        <w:t xml:space="preserve"> и/или в других средствах массовой информации или предоставить данные третьим лицам для указанной цели.</w:t>
      </w:r>
    </w:p>
    <w:p w14:paraId="33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 xml:space="preserve">. </w:t>
      </w:r>
      <w:r>
        <w:rPr>
          <w:sz w:val="28"/>
        </w:rPr>
        <w:t>Отбор участников: Главное управление</w:t>
      </w:r>
      <w:r>
        <w:rPr>
          <w:sz w:val="28"/>
        </w:rPr>
        <w:t xml:space="preserve"> организуе</w:t>
      </w:r>
      <w:r>
        <w:rPr>
          <w:sz w:val="28"/>
        </w:rPr>
        <w:t xml:space="preserve">т отборочный тур среди предприятий и организаций Тверской </w:t>
      </w:r>
      <w:r>
        <w:rPr>
          <w:sz w:val="28"/>
        </w:rPr>
        <w:t>области.</w:t>
      </w:r>
    </w:p>
    <w:p w14:paraId="34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15.</w:t>
      </w:r>
      <w:r>
        <w:rPr>
          <w:rFonts w:ascii="XO Thames" w:hAnsi="XO Thames"/>
          <w:sz w:val="28"/>
        </w:rPr>
        <w:t> </w:t>
      </w:r>
      <w:r>
        <w:rPr>
          <w:sz w:val="28"/>
        </w:rPr>
        <w:t xml:space="preserve">Оценка заявок: </w:t>
      </w:r>
      <w:r>
        <w:rPr>
          <w:sz w:val="28"/>
        </w:rPr>
        <w:t xml:space="preserve">Оргкомитет </w:t>
      </w:r>
      <w:r>
        <w:rPr>
          <w:sz w:val="28"/>
        </w:rPr>
        <w:t xml:space="preserve"> рассматривает поступившие заявки. </w:t>
      </w:r>
      <w:r>
        <w:rPr>
          <w:sz w:val="28"/>
        </w:rPr>
        <w:t>Оценивается</w:t>
      </w:r>
      <w:r>
        <w:rPr>
          <w:sz w:val="28"/>
        </w:rPr>
        <w:t xml:space="preserve"> соответствие кандидатов критериям номинаций и принимает</w:t>
      </w:r>
      <w:r>
        <w:rPr>
          <w:sz w:val="28"/>
        </w:rPr>
        <w:t>ся</w:t>
      </w:r>
      <w:r>
        <w:rPr>
          <w:sz w:val="28"/>
        </w:rPr>
        <w:t xml:space="preserve"> решение о лауреатах регионального этапа.</w:t>
      </w:r>
    </w:p>
    <w:p w14:paraId="35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16.</w:t>
      </w:r>
      <w:r>
        <w:rPr>
          <w:sz w:val="28"/>
        </w:rPr>
        <w:t> </w:t>
      </w:r>
      <w:r>
        <w:rPr>
          <w:sz w:val="28"/>
        </w:rPr>
        <w:t xml:space="preserve">Для участия в финальном этапе Премии от субъекта Российской Федерации может предлагаться не более трех победителей регионального этапа. Оргкомитет самостоятельно принимает решение, по какому из шести критериев будут отбираться участники финального этапа. </w:t>
      </w:r>
      <w:r>
        <w:rPr>
          <w:sz w:val="28"/>
        </w:rPr>
        <w:t>П</w:t>
      </w:r>
      <w:r>
        <w:rPr>
          <w:sz w:val="28"/>
        </w:rPr>
        <w:t>о итогам отбора Главное управление</w:t>
      </w:r>
      <w:r>
        <w:rPr>
          <w:sz w:val="28"/>
        </w:rPr>
        <w:t xml:space="preserve"> формирует з</w:t>
      </w:r>
      <w:r>
        <w:rPr>
          <w:sz w:val="28"/>
        </w:rPr>
        <w:t xml:space="preserve">аявку на каждого лауреата </w:t>
      </w:r>
      <w:r>
        <w:rPr>
          <w:sz w:val="28"/>
        </w:rPr>
        <w:t>и направляет в Организационный комитет Премии</w:t>
      </w:r>
      <w:r>
        <w:rPr>
          <w:sz w:val="28"/>
        </w:rPr>
        <w:t xml:space="preserve">. </w:t>
      </w:r>
    </w:p>
    <w:p w14:paraId="36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17.</w:t>
      </w:r>
      <w:r>
        <w:rPr>
          <w:sz w:val="28"/>
        </w:rPr>
        <w:t> </w:t>
      </w:r>
      <w:r>
        <w:rPr>
          <w:sz w:val="28"/>
        </w:rPr>
        <w:t>Заявки, поступившие в Главное управление</w:t>
      </w:r>
      <w:r>
        <w:rPr>
          <w:sz w:val="28"/>
        </w:rPr>
        <w:t xml:space="preserve"> после истечения установленного срока, к участию в Премии не принимаются.</w:t>
      </w:r>
    </w:p>
    <w:p w14:paraId="37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 xml:space="preserve">18. </w:t>
      </w:r>
      <w:r>
        <w:rPr>
          <w:sz w:val="28"/>
        </w:rPr>
        <w:t xml:space="preserve">Финальный этап (национальный уровень) </w:t>
      </w:r>
      <w:r>
        <w:rPr>
          <w:sz w:val="28"/>
        </w:rPr>
        <w:t>и ц</w:t>
      </w:r>
      <w:r>
        <w:rPr>
          <w:sz w:val="28"/>
        </w:rPr>
        <w:t xml:space="preserve">еремония награждения проходит в Москве в рамках Международной специализированной </w:t>
      </w:r>
      <w:r>
        <w:rPr>
          <w:sz w:val="28"/>
        </w:rPr>
        <w:br/>
      </w:r>
      <w:r>
        <w:rPr>
          <w:rFonts w:ascii="XO Thames" w:hAnsi="XO Thames"/>
          <w:sz w:val="28"/>
        </w:rPr>
        <w:t>выставки - форума</w:t>
      </w:r>
      <w:r>
        <w:rPr>
          <w:sz w:val="28"/>
        </w:rPr>
        <w:t xml:space="preserve"> «Безопасность и охрана труда».</w:t>
      </w:r>
    </w:p>
    <w:p w14:paraId="38000000">
      <w:pPr>
        <w:tabs>
          <w:tab w:leader="none" w:pos="1418" w:val="left"/>
          <w:tab w:leader="none" w:pos="1701" w:val="left"/>
        </w:tabs>
        <w:spacing w:line="240" w:lineRule="atLeast"/>
        <w:ind w:firstLine="900" w:left="0"/>
        <w:jc w:val="both"/>
        <w:rPr>
          <w:color w:val="FF0000"/>
          <w:sz w:val="28"/>
        </w:rPr>
      </w:pPr>
    </w:p>
    <w:p w14:paraId="3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VI. </w:t>
      </w:r>
    </w:p>
    <w:p w14:paraId="3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Критерии </w:t>
      </w:r>
      <w:r>
        <w:rPr>
          <w:b w:val="1"/>
          <w:sz w:val="28"/>
        </w:rPr>
        <w:t>оценки</w:t>
      </w:r>
    </w:p>
    <w:p w14:paraId="3B000000">
      <w:pPr>
        <w:ind/>
        <w:jc w:val="both"/>
        <w:rPr>
          <w:color w:val="FF0000"/>
          <w:sz w:val="28"/>
        </w:rPr>
      </w:pPr>
    </w:p>
    <w:p w14:paraId="3C000000">
      <w:pPr>
        <w:ind w:firstLine="567" w:left="0"/>
        <w:jc w:val="both"/>
        <w:outlineLvl w:val="2"/>
        <w:rPr>
          <w:sz w:val="28"/>
        </w:rPr>
      </w:pPr>
      <w:bookmarkStart w:id="1" w:name="bookmark12"/>
      <w:bookmarkStart w:id="2" w:name="bookmark13"/>
      <w:r>
        <w:rPr>
          <w:sz w:val="28"/>
        </w:rPr>
        <w:t>19.</w:t>
      </w:r>
      <w:r>
        <w:rPr>
          <w:sz w:val="28"/>
        </w:rPr>
        <w:t xml:space="preserve"> Отбор победителей (лауреатов) Премии осуществляется в соответствии со следующими критериями.</w:t>
      </w:r>
      <w:bookmarkEnd w:id="1"/>
      <w:bookmarkEnd w:id="2"/>
    </w:p>
    <w:p w14:paraId="3D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 xml:space="preserve">20. </w:t>
      </w:r>
      <w:r>
        <w:rPr>
          <w:b w:val="1"/>
          <w:sz w:val="28"/>
        </w:rPr>
        <w:t>«Технологический лидер</w:t>
      </w:r>
      <w:r>
        <w:rPr>
          <w:b w:val="1"/>
          <w:sz w:val="28"/>
        </w:rPr>
        <w:t>»</w:t>
      </w:r>
      <w:r>
        <w:rPr>
          <w:b w:val="1"/>
          <w:sz w:val="28"/>
        </w:rPr>
        <w:t>:</w:t>
      </w:r>
      <w:r>
        <w:rPr>
          <w:sz w:val="28"/>
        </w:rPr>
        <w:t xml:space="preserve"> работники, внедрившие инновационные технологии, повысившие эффективность производства, разработавшие новые продукты и решения. При оценке учитывается: </w:t>
      </w:r>
    </w:p>
    <w:p w14:paraId="3E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20.1. Инновационность: оценка новизны и оригинальности внедренных технологий или разработанных решений.</w:t>
      </w:r>
    </w:p>
    <w:p w14:paraId="3F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20.2.</w:t>
      </w:r>
      <w:r>
        <w:rPr>
          <w:sz w:val="28"/>
        </w:rPr>
        <w:t> </w:t>
      </w:r>
      <w:r>
        <w:rPr>
          <w:sz w:val="28"/>
        </w:rPr>
        <w:t>Влияние на эффективность: измеримые результаты, демонстрирующие повышение производительности, снижение затрат, оптимизацию ресурсов или улучшение качества продукции/услуг, благодаря внедренным технологиям.</w:t>
      </w:r>
    </w:p>
    <w:p w14:paraId="40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20.3. Практическая применимость: оценка возможности м</w:t>
      </w:r>
      <w:r>
        <w:rPr>
          <w:sz w:val="28"/>
        </w:rPr>
        <w:t>асштабирования и тиражирования разработанных решений для применения в других областях компании или в отрасли в целом.</w:t>
      </w:r>
    </w:p>
    <w:p w14:paraId="41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20.4.</w:t>
      </w:r>
      <w:r>
        <w:rPr>
          <w:sz w:val="28"/>
        </w:rPr>
        <w:t> </w:t>
      </w:r>
      <w:r>
        <w:rPr>
          <w:sz w:val="28"/>
        </w:rPr>
        <w:t>Качество реализации и достижения: оцениваются результаты внедрения технологии, включая успешные кейсы, показатели эффективности, а также способность проекта выдерживать конкуренцию на рынке.</w:t>
      </w:r>
    </w:p>
    <w:p w14:paraId="42000000">
      <w:pPr>
        <w:ind w:firstLine="567" w:left="0"/>
        <w:jc w:val="both"/>
        <w:outlineLvl w:val="2"/>
        <w:rPr>
          <w:sz w:val="28"/>
        </w:rPr>
      </w:pPr>
      <w:bookmarkStart w:id="3" w:name="bookmark14"/>
      <w:bookmarkStart w:id="4" w:name="bookmark15"/>
      <w:r>
        <w:rPr>
          <w:sz w:val="28"/>
        </w:rPr>
        <w:t xml:space="preserve">21. </w:t>
      </w:r>
      <w:r>
        <w:rPr>
          <w:b w:val="1"/>
          <w:sz w:val="28"/>
        </w:rPr>
        <w:t>«Лучший наставник»:</w:t>
      </w:r>
      <w:bookmarkEnd w:id="3"/>
      <w:bookmarkEnd w:id="4"/>
      <w:r>
        <w:rPr>
          <w:sz w:val="28"/>
        </w:rPr>
        <w:t xml:space="preserve"> работники, внесшие значительный вклад в профессиональное становление молодых специалистов, передавшие опыт и знания,способствовавшие развитию кадрового потенциала. Пр и оценке учитывается:</w:t>
      </w:r>
    </w:p>
    <w:p w14:paraId="43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21.1. Вклад в профессиональное становление: оценивается эффективность наставнической деятельности в адаптации и развитии молодых специалистов, их вовлеченность в работу и освоение необходимых навыков.</w:t>
      </w:r>
    </w:p>
    <w:p w14:paraId="44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21.2.</w:t>
      </w:r>
      <w:r>
        <w:rPr>
          <w:sz w:val="28"/>
        </w:rPr>
        <w:t> </w:t>
      </w:r>
      <w:r>
        <w:rPr>
          <w:sz w:val="28"/>
        </w:rPr>
        <w:t>Передача опыта и знаний: учитывается способность наставника доступно и эффективно передавать свои знания, умения и опыт, а также вдохновлять на профессиональный рост.</w:t>
      </w:r>
    </w:p>
    <w:p w14:paraId="45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21.3</w:t>
      </w:r>
      <w:r>
        <w:rPr>
          <w:sz w:val="28"/>
        </w:rPr>
        <w:t> </w:t>
      </w:r>
      <w:r>
        <w:rPr>
          <w:sz w:val="28"/>
        </w:rPr>
        <w:t>Содействие развитию кадрового потенциала: принимается во внимание участие наставника в создании благоприятной среды для обучения и развития молодых специалистов, их мотивация к самосовершенствованию и достижению высоких результатов.</w:t>
      </w:r>
    </w:p>
    <w:p w14:paraId="46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21.4. Снижение «текучести кадров» среди молодых специалистов: умение наставника интегрировать новых сотрудников в корпоративную культуру, создание комфортной и мотивирующей рабочей среды.</w:t>
      </w:r>
    </w:p>
    <w:p w14:paraId="47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22</w:t>
      </w:r>
      <w:bookmarkStart w:id="5" w:name="bookmark16"/>
      <w:bookmarkStart w:id="6" w:name="bookmark17"/>
      <w:r>
        <w:rPr>
          <w:sz w:val="28"/>
        </w:rPr>
        <w:t>.</w:t>
      </w:r>
      <w:r>
        <w:rPr>
          <w:b w:val="1"/>
          <w:sz w:val="28"/>
        </w:rPr>
        <w:t xml:space="preserve"> «Молодой специалист»:</w:t>
      </w:r>
      <w:bookmarkEnd w:id="5"/>
      <w:bookmarkEnd w:id="6"/>
      <w:r>
        <w:rPr>
          <w:sz w:val="28"/>
        </w:rPr>
        <w:t xml:space="preserve"> молодые работники (от 18 до 35 лет), достигшие значительных успехов в профессиональной деятельности, проявившие инициативность и стремление к профессиональному росту. При оценке учитывается:</w:t>
      </w:r>
    </w:p>
    <w:p w14:paraId="48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22</w:t>
      </w:r>
      <w:r>
        <w:rPr>
          <w:sz w:val="28"/>
        </w:rPr>
        <w:t>.</w:t>
      </w:r>
      <w:r>
        <w:rPr>
          <w:sz w:val="28"/>
        </w:rPr>
        <w:t xml:space="preserve">1. </w:t>
      </w:r>
      <w:r>
        <w:rPr>
          <w:sz w:val="28"/>
        </w:rPr>
        <w:t>Значительные успехи в профессиональной деятельности: конкретные результаты, демонстрирующие его вклад в достижение целей организации или проекта. Это могут быть успешно реализованные проекты, внедренные инновации, улучшение ключевых показателей эффективности и другие измеримые достижения.</w:t>
      </w:r>
    </w:p>
    <w:p w14:paraId="49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22.</w:t>
      </w:r>
      <w:r>
        <w:rPr>
          <w:sz w:val="28"/>
        </w:rPr>
        <w:t xml:space="preserve">2. </w:t>
      </w:r>
      <w:r>
        <w:rPr>
          <w:sz w:val="28"/>
        </w:rPr>
        <w:t>Инициативность: способность кандидата самостоятельно выявлять проблемы и предлагать решения, проявлять активность в улучшении рабочих процессов. Личный вклад в развитие позитивного образа молодого специалиста, человека труда и ответственного лидера.</w:t>
      </w:r>
    </w:p>
    <w:p w14:paraId="4A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22</w:t>
      </w:r>
      <w:r>
        <w:rPr>
          <w:sz w:val="28"/>
        </w:rPr>
        <w:t>.</w:t>
      </w:r>
      <w:r>
        <w:rPr>
          <w:sz w:val="28"/>
        </w:rPr>
        <w:t xml:space="preserve">3. </w:t>
      </w:r>
      <w:r>
        <w:rPr>
          <w:sz w:val="28"/>
        </w:rPr>
        <w:t>Стремление к профессиональному росту: развитие профессиональных навыков и знаний, участие в программах обучения, посещение конференций и семинаров, а также готовность к освоению новых технологий и методик.</w:t>
      </w:r>
    </w:p>
    <w:p w14:paraId="4B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22</w:t>
      </w:r>
      <w:r>
        <w:rPr>
          <w:sz w:val="28"/>
        </w:rPr>
        <w:t>.</w:t>
      </w:r>
      <w:r>
        <w:rPr>
          <w:sz w:val="28"/>
        </w:rPr>
        <w:t xml:space="preserve">4. </w:t>
      </w:r>
      <w:r>
        <w:rPr>
          <w:sz w:val="28"/>
        </w:rPr>
        <w:t>Социальная активность: участие в молодежных сообществах, организациях или проектах, а также активное вовлечение других участников в социально значимую деятельность.</w:t>
      </w:r>
    </w:p>
    <w:p w14:paraId="4C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23.</w:t>
      </w:r>
      <w:r>
        <w:rPr>
          <w:b w:val="1"/>
          <w:sz w:val="28"/>
        </w:rPr>
        <w:t xml:space="preserve"> «Семейные трудовые династии»:</w:t>
      </w:r>
      <w:r>
        <w:rPr>
          <w:sz w:val="28"/>
        </w:rPr>
        <w:t xml:space="preserve"> работники – представители семей, где минимум три поколения стали представителями одной профессии, или семьи, где общий трудовой стаж всех членов семьи в одной профессии или на одном предприятии составляет не менее 50 лет. При оценке учитываются:</w:t>
      </w:r>
    </w:p>
    <w:p w14:paraId="4D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23.1. Преемственность: кандидаты должны представлять семью, где не менее трех поколений являются представителями одной профессии или работают на одном предприятии или семьи, где общий трудовой стаж всех членов семьи в одной профессии или на одном предприятии составляет не менее 50 лет.</w:t>
      </w:r>
    </w:p>
    <w:p w14:paraId="4E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23.2. Заслуженность: наличие наград, грамот и благодарностей от руководства предприятия и/или представителей органов государственной власти.</w:t>
      </w:r>
    </w:p>
    <w:p w14:paraId="4F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23.3. Добросовестность: оценка руководства и коллег вклада представителей династии в рабочий процесс и отношения к своему делу.</w:t>
      </w:r>
    </w:p>
    <w:p w14:paraId="50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23.4. Опыт: учитывается общий трудовой стаж династии, профессионализм и компетентность в ходе трудовой деятельности.</w:t>
      </w:r>
    </w:p>
    <w:p w14:paraId="51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24. «</w:t>
      </w:r>
      <w:r>
        <w:rPr>
          <w:b w:val="1"/>
          <w:sz w:val="28"/>
        </w:rPr>
        <w:t>Совет ветеранов»:</w:t>
      </w:r>
      <w:r>
        <w:rPr>
          <w:sz w:val="28"/>
        </w:rPr>
        <w:t xml:space="preserve"> руководитель или представитель организации заслуженных работников предприятий, внесших большой вклад в сохранение трудовых династий и сбережение накопленного опыта. При оценке учитываются:</w:t>
      </w:r>
    </w:p>
    <w:p w14:paraId="52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24.1. Заслуженность: наличие в организации ветеранов труда, внесших значительный вклад в трудовую деятельность предприятия, а также иющих награды, грамоты и благодарности от руководства предприятия и/или представителей органов государственной власти .</w:t>
      </w:r>
    </w:p>
    <w:p w14:paraId="53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24.2. Преемственность: учитываются услуги ветеранов организации в передаче опыта и накопленных знаний молодым специалистам, развитие кадрового потенциала предприятия.</w:t>
      </w:r>
    </w:p>
    <w:p w14:paraId="54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24.3. Традиции: сохранение ветеранам организации многолетних профессиональных традиций, заслуг и памяти героев Социалистического труда.</w:t>
      </w:r>
    </w:p>
    <w:p w14:paraId="55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24.4. Общественная активность: участие представителей организации в патриотических, воспитательных, общественно полезных мероприятиях и акциях на уровне отдельного предприятия, города и региона.</w:t>
      </w:r>
    </w:p>
    <w:p w14:paraId="56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 xml:space="preserve">25. </w:t>
      </w:r>
      <w:r>
        <w:rPr>
          <w:b w:val="1"/>
          <w:sz w:val="28"/>
        </w:rPr>
        <w:t>«Трудовое патриотическое воспитание»</w:t>
      </w:r>
      <w:r>
        <w:rPr>
          <w:sz w:val="28"/>
        </w:rPr>
        <w:t>: руководитель или представитель организации, имеющий многолетний опыт трудового патриотического воспитания молодежи, взрастившие граждан, для которых любовь к Отечеству проявляется не только в словах, но и реальных поступках: в желании и потребности трудится ради общественного блага, бережно относиться к национальным богатствам, вносить личный вклад в развит ие страны. при оценке учитывается:</w:t>
      </w:r>
    </w:p>
    <w:p w14:paraId="57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25.1. Опыт: наличие многолетнего подтвержденного опыта трудового и/или патриотического воспитания молодежи.</w:t>
      </w:r>
    </w:p>
    <w:p w14:paraId="58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25.2. Знания: учитывается эффективность педагогической деятельности и наличие глубоких знаний об истории России, ее традициях (в том числе трудовых), культуре, основах государственной политики.</w:t>
      </w:r>
    </w:p>
    <w:p w14:paraId="59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>25.3. Социальная активность: организация патриотических сообществ, организаций или проектов, направленных на прославление ценности труда и любви к России.</w:t>
      </w:r>
    </w:p>
    <w:p w14:paraId="5A000000">
      <w:pPr>
        <w:ind w:firstLine="567" w:left="0"/>
        <w:jc w:val="both"/>
        <w:outlineLvl w:val="2"/>
        <w:rPr>
          <w:sz w:val="28"/>
        </w:rPr>
      </w:pPr>
      <w:r>
        <w:rPr>
          <w:sz w:val="28"/>
        </w:rPr>
        <w:t xml:space="preserve">25.4. Традиционные ценности: учитывается вклад в популяризацию традиционных ценностей среди молодежи, прославление семьи, труда и патриотизма. </w:t>
      </w:r>
    </w:p>
    <w:p w14:paraId="5B000000">
      <w:pPr>
        <w:ind/>
        <w:jc w:val="both"/>
        <w:rPr>
          <w:color w:val="FF0000"/>
          <w:sz w:val="28"/>
        </w:rPr>
      </w:pPr>
    </w:p>
    <w:p w14:paraId="5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VII. </w:t>
      </w:r>
    </w:p>
    <w:p w14:paraId="5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Персональные данные участников Премии</w:t>
      </w:r>
    </w:p>
    <w:p w14:paraId="5E000000">
      <w:pPr>
        <w:tabs>
          <w:tab w:leader="none" w:pos="2097" w:val="left"/>
        </w:tabs>
        <w:ind w:firstLine="851" w:left="0"/>
        <w:jc w:val="both"/>
        <w:rPr>
          <w:sz w:val="28"/>
        </w:rPr>
      </w:pPr>
    </w:p>
    <w:p w14:paraId="5F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26</w:t>
      </w:r>
      <w:r>
        <w:rPr>
          <w:sz w:val="28"/>
        </w:rPr>
        <w:t>.</w:t>
      </w:r>
      <w:r>
        <w:rPr>
          <w:sz w:val="28"/>
        </w:rPr>
        <w:t>Оргкомитет Премии осуществляет обработку персональных данных Номинантов в соответствии с законодательством Российской Федерации в целях проведения Премии.</w:t>
      </w:r>
    </w:p>
    <w:p w14:paraId="60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27.</w:t>
      </w:r>
      <w:r>
        <w:rPr>
          <w:sz w:val="28"/>
        </w:rPr>
        <w:t> </w:t>
      </w:r>
      <w:r>
        <w:rPr>
          <w:sz w:val="28"/>
        </w:rPr>
        <w:t>При подаче Заявки участник Премии в обязательном порядке  подтверждает свое согласие на обработку его персональных данных, заполняя прилагаемую  к заявке форму согласия на обработку его персональных данных, указанную в</w:t>
      </w:r>
      <w:r>
        <w:rPr>
          <w:sz w:val="28"/>
        </w:rPr>
        <w:t xml:space="preserve"> Приложени</w:t>
      </w:r>
      <w:r>
        <w:rPr>
          <w:sz w:val="28"/>
        </w:rPr>
        <w:t>ем</w:t>
      </w:r>
      <w:r>
        <w:rPr>
          <w:sz w:val="28"/>
        </w:rPr>
        <w:t xml:space="preserve"> № 2 </w:t>
      </w:r>
      <w:r>
        <w:rPr>
          <w:sz w:val="28"/>
        </w:rPr>
        <w:t>к настоящему Положению. Заявки, направленные без заполненного и подписанного согласия на обработку персональных данных, к рассмотрению приниматься не будут.</w:t>
      </w:r>
    </w:p>
    <w:p w14:paraId="61000000">
      <w:pPr>
        <w:tabs>
          <w:tab w:leader="none" w:pos="2097" w:val="left"/>
        </w:tabs>
        <w:ind w:firstLine="567" w:left="0"/>
        <w:jc w:val="both"/>
        <w:rPr>
          <w:sz w:val="28"/>
        </w:rPr>
      </w:pPr>
      <w:r>
        <w:rPr>
          <w:sz w:val="28"/>
        </w:rPr>
        <w:t>28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Под обработкой персональных данных в настоящем Положении понимается сбор, систематизация, накопление, хранение, использование, распространение,</w:t>
      </w:r>
      <w:r>
        <w:rPr>
          <w:sz w:val="28"/>
        </w:rPr>
        <w:t xml:space="preserve"> </w:t>
      </w:r>
      <w:r>
        <w:rPr>
          <w:sz w:val="28"/>
        </w:rPr>
        <w:t>уточнение (обновление, изменение), блокирование, уничтожение персональных данных Участников Премии.</w:t>
      </w:r>
    </w:p>
    <w:p w14:paraId="62000000">
      <w:pPr>
        <w:tabs>
          <w:tab w:leader="none" w:pos="2078" w:val="left"/>
        </w:tabs>
        <w:ind w:firstLine="567" w:left="0"/>
        <w:jc w:val="both"/>
        <w:rPr>
          <w:sz w:val="28"/>
        </w:rPr>
      </w:pPr>
      <w:r>
        <w:rPr>
          <w:sz w:val="28"/>
        </w:rPr>
        <w:t>29</w:t>
      </w:r>
      <w:r>
        <w:rPr>
          <w:sz w:val="28"/>
        </w:rPr>
        <w:t xml:space="preserve">. </w:t>
      </w:r>
      <w:r>
        <w:rPr>
          <w:sz w:val="28"/>
        </w:rPr>
        <w:t>Все п</w:t>
      </w:r>
      <w:r>
        <w:rPr>
          <w:sz w:val="28"/>
        </w:rPr>
        <w:t xml:space="preserve">ерсональные данные, оставленные участниками Премии </w:t>
      </w:r>
      <w:r>
        <w:rPr>
          <w:sz w:val="28"/>
        </w:rPr>
        <w:t xml:space="preserve"> для участия </w:t>
      </w:r>
      <w:r>
        <w:rPr>
          <w:sz w:val="28"/>
        </w:rPr>
        <w:t>в Премии, будут собираться, обрабатываться и храниться в соответствии с условиями действующего законодательства Российской Федерации.</w:t>
      </w:r>
    </w:p>
    <w:p w14:paraId="63000000">
      <w:pPr>
        <w:ind/>
        <w:jc w:val="right"/>
        <w:rPr>
          <w:sz w:val="28"/>
        </w:rPr>
      </w:pPr>
    </w:p>
    <w:p w14:paraId="64000000">
      <w:pPr>
        <w:ind/>
        <w:jc w:val="right"/>
        <w:rPr>
          <w:sz w:val="28"/>
        </w:rPr>
      </w:pPr>
      <w:r>
        <w:rPr>
          <w:sz w:val="28"/>
        </w:rPr>
        <w:t xml:space="preserve">Приложение № </w:t>
      </w:r>
      <w:r>
        <w:rPr>
          <w:sz w:val="28"/>
        </w:rPr>
        <w:t>1</w:t>
      </w:r>
    </w:p>
    <w:p w14:paraId="65000000">
      <w:pPr>
        <w:pStyle w:val="Style_2"/>
        <w:ind w:firstLine="0" w:left="-851" w:right="0"/>
        <w:jc w:val="right"/>
        <w:rPr>
          <w:color w:val="000000"/>
          <w:sz w:val="28"/>
        </w:rPr>
      </w:pPr>
      <w:r>
        <w:rPr>
          <w:sz w:val="28"/>
        </w:rPr>
        <w:t xml:space="preserve"> к Положению </w:t>
      </w:r>
      <w:r>
        <w:rPr>
          <w:sz w:val="28"/>
        </w:rPr>
        <w:t>о</w:t>
      </w:r>
      <w:r>
        <w:rPr>
          <w:color w:val="000000"/>
          <w:sz w:val="28"/>
        </w:rPr>
        <w:t xml:space="preserve"> проведении регионального </w:t>
      </w:r>
    </w:p>
    <w:p w14:paraId="66000000">
      <w:pPr>
        <w:pStyle w:val="Style_2"/>
        <w:ind w:firstLine="0" w:left="-851" w:right="0"/>
        <w:jc w:val="right"/>
        <w:rPr>
          <w:sz w:val="28"/>
        </w:rPr>
      </w:pPr>
      <w:r>
        <w:rPr>
          <w:color w:val="000000"/>
          <w:sz w:val="28"/>
        </w:rPr>
        <w:t>этапа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Национальной премии «Человек труда</w:t>
      </w:r>
      <w:r>
        <w:rPr>
          <w:color w:val="000000"/>
          <w:sz w:val="28"/>
        </w:rPr>
        <w:t>»</w:t>
      </w:r>
    </w:p>
    <w:p w14:paraId="67000000">
      <w:pPr>
        <w:ind/>
        <w:jc w:val="right"/>
        <w:rPr>
          <w:sz w:val="28"/>
        </w:rPr>
      </w:pPr>
    </w:p>
    <w:p w14:paraId="6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ОБРАЗЕЦ ЗАЯВКИ</w:t>
      </w:r>
    </w:p>
    <w:p w14:paraId="6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УЧАСТИЕ В НАЦИОНАЛЬНОЙ ПРЕМИИ «ЧЕЛОВЕК ТРУДА»</w:t>
      </w:r>
    </w:p>
    <w:p w14:paraId="6A000000">
      <w:pPr>
        <w:ind/>
        <w:jc w:val="right"/>
        <w:rPr>
          <w:sz w:val="28"/>
        </w:rPr>
      </w:pPr>
    </w:p>
    <w:tbl>
      <w:tblPr>
        <w:tblStyle w:val="Style_1"/>
        <w:tblInd w:type="dxa" w:w="-8"/>
        <w:tblLayout w:type="fixed"/>
        <w:tblCellMar>
          <w:left w:type="dxa" w:w="10"/>
          <w:right w:type="dxa" w:w="10"/>
        </w:tblCellMar>
      </w:tblPr>
      <w:tblGrid>
        <w:gridCol w:w="6127"/>
        <w:gridCol w:w="3303"/>
      </w:tblGrid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B000000">
            <w:r>
              <w:t>РЕГИОН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r>
              <w:t>АДРЕС РЕГИСТРАЦИИ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r>
              <w:t>ФИО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00000">
            <w:r>
              <w:t>ДАТА РОЖДЕНИЯ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r>
              <w:t>ЭЛЕКТРОННАЯ ПОЧТА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r>
              <w:t xml:space="preserve">МОБИЛЬНЫЙ ТЕЛЕФОН 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00000">
            <w:r>
              <w:t>ОРГАНИЗАЦИЯ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r>
              <w:t>ДОЛЖНОСТЬ</w:t>
            </w:r>
          </w:p>
          <w:p w14:paraId="7A000000">
            <w:pPr>
              <w:rPr>
                <w:sz w:val="10"/>
              </w:rPr>
            </w:pP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r>
              <w:t>ЭЛЕКТРОННАЯ ПОЧТА ОРГАНИЗАЦИИ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r>
              <w:t>ТЕЛЕФОН ОРГАНИЗАЦИИ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r>
              <w:t>ФИО КОНТАКТНОГО ЛИЦА ОРГАНИЗАЦИИ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r>
              <w:t>ТЕЛЕФОН КОНТАКТНОГО ЛИЦА ОРГАНИЗАЦИИ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00000">
            <w:pPr>
              <w:rPr>
                <w:sz w:val="10"/>
              </w:rPr>
            </w:pPr>
          </w:p>
        </w:tc>
      </w:tr>
      <w:tr>
        <w:trPr>
          <w:trHeight w:hRule="exact" w:val="567"/>
        </w:trPr>
        <w:tc>
          <w:tcPr>
            <w:tcW w:type="dxa" w:w="6127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r>
              <w:t>ЭЛЕКТРОННАЯ ПОЧТА КОНТАКТНОГО ЛИЦА ОРГАНИЗАЦИИ</w:t>
            </w:r>
          </w:p>
        </w:tc>
        <w:tc>
          <w:tcPr>
            <w:tcW w:type="dxa" w:w="330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rPr>
                <w:sz w:val="10"/>
              </w:rPr>
            </w:pPr>
          </w:p>
        </w:tc>
      </w:tr>
      <w:tr>
        <w:trPr>
          <w:trHeight w:hRule="exact" w:val="1823"/>
        </w:trPr>
        <w:tc>
          <w:tcPr>
            <w:tcW w:type="dxa" w:w="6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r>
              <w:t>ПОДРОБНОЕ ОБОСНОВАНИЕ ВЫДВИЖЕНИЯ</w:t>
            </w:r>
          </w:p>
          <w:p w14:paraId="87000000">
            <w:r>
              <w:t>(достижения кандидата, вклад в развитие отрасли)</w:t>
            </w:r>
          </w:p>
        </w:tc>
        <w:tc>
          <w:tcPr>
            <w:tcW w:type="dxa" w:w="3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rPr>
                <w:sz w:val="10"/>
              </w:rPr>
            </w:pPr>
          </w:p>
          <w:p w14:paraId="89000000">
            <w:pPr>
              <w:rPr>
                <w:sz w:val="10"/>
              </w:rPr>
            </w:pPr>
          </w:p>
          <w:p w14:paraId="8A000000">
            <w:pPr>
              <w:rPr>
                <w:sz w:val="10"/>
              </w:rPr>
            </w:pPr>
          </w:p>
          <w:p w14:paraId="8B000000">
            <w:pPr>
              <w:rPr>
                <w:sz w:val="10"/>
              </w:rPr>
            </w:pPr>
          </w:p>
          <w:p w14:paraId="8C000000">
            <w:pPr>
              <w:rPr>
                <w:sz w:val="10"/>
              </w:rPr>
            </w:pPr>
          </w:p>
          <w:p w14:paraId="8D000000">
            <w:pPr>
              <w:rPr>
                <w:sz w:val="10"/>
              </w:rPr>
            </w:pPr>
          </w:p>
          <w:p w14:paraId="8E000000">
            <w:pPr>
              <w:rPr>
                <w:sz w:val="10"/>
              </w:rPr>
            </w:pPr>
          </w:p>
          <w:p w14:paraId="8F000000">
            <w:pPr>
              <w:rPr>
                <w:sz w:val="10"/>
              </w:rPr>
            </w:pPr>
          </w:p>
          <w:p w14:paraId="90000000">
            <w:pPr>
              <w:rPr>
                <w:sz w:val="10"/>
              </w:rPr>
            </w:pPr>
          </w:p>
          <w:p w14:paraId="91000000">
            <w:pPr>
              <w:rPr>
                <w:sz w:val="10"/>
              </w:rPr>
            </w:pPr>
          </w:p>
        </w:tc>
      </w:tr>
    </w:tbl>
    <w:p w14:paraId="92000000">
      <w:pPr>
        <w:ind/>
        <w:jc w:val="center"/>
        <w:rPr>
          <w:b w:val="1"/>
          <w:sz w:val="28"/>
        </w:rPr>
      </w:pPr>
    </w:p>
    <w:p w14:paraId="93000000">
      <w:pPr>
        <w:ind/>
        <w:jc w:val="both"/>
        <w:rPr>
          <w:i w:val="1"/>
          <w:sz w:val="28"/>
        </w:rPr>
      </w:pPr>
      <w:r>
        <w:rPr>
          <w:i w:val="1"/>
          <w:sz w:val="28"/>
        </w:rPr>
        <w:t>К анкете может прилагаться иная информация в виде текста, фото, видео, статей, публикаций и др.</w:t>
      </w:r>
    </w:p>
    <w:p w14:paraId="94000000">
      <w:pPr>
        <w:ind/>
        <w:jc w:val="both"/>
        <w:rPr>
          <w:i w:val="1"/>
          <w:sz w:val="28"/>
        </w:rPr>
      </w:pPr>
    </w:p>
    <w:p w14:paraId="95000000">
      <w:pPr>
        <w:ind/>
        <w:jc w:val="right"/>
        <w:rPr>
          <w:sz w:val="28"/>
        </w:rPr>
      </w:pPr>
    </w:p>
    <w:p w14:paraId="96000000">
      <w:pPr>
        <w:ind/>
        <w:jc w:val="right"/>
        <w:rPr>
          <w:sz w:val="28"/>
        </w:rPr>
      </w:pPr>
    </w:p>
    <w:p w14:paraId="97000000">
      <w:pPr>
        <w:ind/>
        <w:jc w:val="right"/>
        <w:rPr>
          <w:sz w:val="28"/>
        </w:rPr>
      </w:pPr>
    </w:p>
    <w:p w14:paraId="98000000">
      <w:pPr>
        <w:ind/>
        <w:jc w:val="right"/>
        <w:rPr>
          <w:sz w:val="28"/>
        </w:rPr>
      </w:pPr>
    </w:p>
    <w:p w14:paraId="99000000">
      <w:pPr>
        <w:ind/>
        <w:jc w:val="right"/>
        <w:rPr>
          <w:sz w:val="28"/>
        </w:rPr>
      </w:pPr>
    </w:p>
    <w:p w14:paraId="9A000000">
      <w:pPr>
        <w:pStyle w:val="Style_2"/>
        <w:ind w:firstLine="0" w:left="-851" w:right="0"/>
        <w:jc w:val="right"/>
        <w:rPr>
          <w:color w:val="000000"/>
          <w:sz w:val="28"/>
        </w:rPr>
      </w:pPr>
      <w:r>
        <w:rPr>
          <w:sz w:val="28"/>
        </w:rPr>
        <w:t xml:space="preserve">  Приложение 2</w:t>
      </w:r>
    </w:p>
    <w:p w14:paraId="9B000000">
      <w:pPr>
        <w:pStyle w:val="Style_2"/>
        <w:ind w:firstLine="0" w:left="-851" w:right="0"/>
        <w:jc w:val="right"/>
        <w:rPr>
          <w:color w:val="000000"/>
          <w:sz w:val="28"/>
        </w:rPr>
      </w:pPr>
      <w:r>
        <w:rPr>
          <w:sz w:val="28"/>
        </w:rPr>
        <w:t xml:space="preserve">к Положению </w:t>
      </w:r>
      <w:r>
        <w:rPr>
          <w:sz w:val="28"/>
        </w:rPr>
        <w:t>о</w:t>
      </w:r>
      <w:r>
        <w:rPr>
          <w:color w:val="000000"/>
          <w:sz w:val="28"/>
        </w:rPr>
        <w:t xml:space="preserve"> проведении регионального </w:t>
      </w:r>
    </w:p>
    <w:p w14:paraId="9C000000">
      <w:pPr>
        <w:ind/>
        <w:jc w:val="both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этапа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Национальной премии «Человек труда</w:t>
      </w:r>
      <w:r>
        <w:rPr>
          <w:color w:val="000000"/>
          <w:sz w:val="28"/>
        </w:rPr>
        <w:t>»</w:t>
      </w:r>
    </w:p>
    <w:p w14:paraId="9D000000">
      <w:pPr>
        <w:ind/>
        <w:jc w:val="right"/>
        <w:rPr>
          <w:sz w:val="28"/>
        </w:rPr>
      </w:pPr>
    </w:p>
    <w:p w14:paraId="9E000000">
      <w:pPr>
        <w:ind/>
        <w:jc w:val="center"/>
        <w:rPr>
          <w:sz w:val="28"/>
        </w:rPr>
      </w:pPr>
    </w:p>
    <w:p w14:paraId="9F000000">
      <w:pPr>
        <w:ind/>
        <w:jc w:val="center"/>
        <w:rPr>
          <w:sz w:val="28"/>
        </w:rPr>
      </w:pPr>
      <w:r>
        <w:rPr>
          <w:sz w:val="28"/>
        </w:rPr>
        <w:t xml:space="preserve">СОГЛАСИЕ </w:t>
      </w:r>
    </w:p>
    <w:p w14:paraId="A0000000">
      <w:pPr>
        <w:ind/>
        <w:jc w:val="center"/>
        <w:rPr>
          <w:sz w:val="28"/>
        </w:rPr>
      </w:pPr>
      <w:r>
        <w:rPr>
          <w:sz w:val="28"/>
        </w:rPr>
        <w:t xml:space="preserve">на обработку персональных данных </w:t>
      </w:r>
    </w:p>
    <w:p w14:paraId="A1000000">
      <w:pPr>
        <w:ind/>
        <w:jc w:val="center"/>
        <w:rPr>
          <w:sz w:val="28"/>
        </w:rPr>
      </w:pPr>
    </w:p>
    <w:p w14:paraId="A2000000">
      <w:pPr>
        <w:ind/>
        <w:jc w:val="center"/>
        <w:rPr>
          <w:sz w:val="28"/>
        </w:rPr>
      </w:pPr>
      <w:r>
        <w:rPr>
          <w:sz w:val="28"/>
        </w:rPr>
        <w:t>Я,___________________________________________________________________</w:t>
      </w:r>
      <w:r>
        <w:br/>
      </w:r>
      <w:r>
        <w:t xml:space="preserve">                 (фамилия, имя, отчество физического лица – субъекта персональных данных)</w:t>
      </w:r>
    </w:p>
    <w:p w14:paraId="A3000000">
      <w:pPr>
        <w:ind/>
        <w:jc w:val="both"/>
        <w:rPr>
          <w:sz w:val="28"/>
        </w:rPr>
      </w:pPr>
      <w:r>
        <w:rPr>
          <w:sz w:val="28"/>
        </w:rPr>
        <w:t>даю свое согласие на обработку своих персональных данных в качестве участника Национальной премии «Человек труда».</w:t>
      </w:r>
    </w:p>
    <w:p w14:paraId="A4000000">
      <w:pPr>
        <w:ind/>
        <w:jc w:val="both"/>
        <w:rPr>
          <w:sz w:val="28"/>
        </w:rPr>
      </w:pPr>
    </w:p>
    <w:p w14:paraId="A5000000">
      <w:pPr>
        <w:ind/>
        <w:jc w:val="both"/>
        <w:rPr>
          <w:sz w:val="28"/>
        </w:rPr>
      </w:pPr>
      <w:r>
        <w:rPr>
          <w:sz w:val="28"/>
        </w:rPr>
        <w:t>Даю свое согласие на использование персональных данных любым способом, указанным в пункте 3 статьи 3 Федерального закона от 27 июля 2006 года № 152 – ФЗ « О персональных данных»: «3)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перслональных данных».</w:t>
      </w:r>
    </w:p>
    <w:p w14:paraId="A6000000">
      <w:pPr>
        <w:ind/>
        <w:jc w:val="both"/>
        <w:rPr>
          <w:sz w:val="28"/>
        </w:rPr>
      </w:pPr>
    </w:p>
    <w:p w14:paraId="A7000000">
      <w:pPr>
        <w:ind/>
        <w:jc w:val="both"/>
        <w:rPr>
          <w:sz w:val="28"/>
        </w:rPr>
      </w:pPr>
      <w:r>
        <w:rPr>
          <w:sz w:val="28"/>
        </w:rPr>
        <w:t>Настоящее согласие распространяется на все этапы проведения Национальной премии «Человек труда», действует со дня его подписания.</w:t>
      </w:r>
    </w:p>
    <w:p w14:paraId="A8000000">
      <w:pPr>
        <w:ind/>
        <w:jc w:val="both"/>
        <w:rPr>
          <w:sz w:val="28"/>
        </w:rPr>
      </w:pPr>
    </w:p>
    <w:p w14:paraId="A9000000">
      <w:pPr>
        <w:ind/>
        <w:jc w:val="both"/>
        <w:rPr>
          <w:sz w:val="28"/>
        </w:rPr>
      </w:pPr>
      <w:r>
        <w:rPr>
          <w:sz w:val="28"/>
        </w:rPr>
        <w:t xml:space="preserve">Подтверждаю, что ознакомлен с нормами Федерального закона от 27 июля 2006 года № 152 – ФЗ « О персональных данных», понимаю свои права и обязанности в области защиты персональных данных. </w:t>
      </w:r>
    </w:p>
    <w:p w14:paraId="AA000000">
      <w:pPr>
        <w:ind/>
        <w:jc w:val="both"/>
        <w:rPr>
          <w:sz w:val="28"/>
        </w:rPr>
      </w:pPr>
    </w:p>
    <w:p w14:paraId="AB000000">
      <w:pPr>
        <w:ind/>
        <w:jc w:val="left"/>
        <w:rPr>
          <w:sz w:val="28"/>
        </w:rPr>
      </w:pPr>
    </w:p>
    <w:p w14:paraId="AC000000">
      <w:pPr>
        <w:ind/>
        <w:jc w:val="left"/>
        <w:rPr>
          <w:sz w:val="28"/>
        </w:rPr>
      </w:pPr>
      <w:r>
        <w:rPr>
          <w:sz w:val="28"/>
        </w:rPr>
        <w:t xml:space="preserve">Дата ___________                                                                    Подпись ___________         </w:t>
      </w:r>
    </w:p>
    <w:p w14:paraId="AD000000">
      <w:pPr>
        <w:ind/>
        <w:jc w:val="right"/>
        <w:rPr>
          <w:sz w:val="28"/>
        </w:rPr>
      </w:pPr>
    </w:p>
    <w:p w14:paraId="AE000000">
      <w:pPr>
        <w:ind/>
        <w:jc w:val="right"/>
        <w:rPr>
          <w:sz w:val="28"/>
        </w:rPr>
      </w:pPr>
    </w:p>
    <w:p w14:paraId="AF000000">
      <w:pPr>
        <w:ind/>
        <w:jc w:val="right"/>
        <w:rPr>
          <w:sz w:val="28"/>
        </w:rPr>
      </w:pPr>
    </w:p>
    <w:p w14:paraId="B0000000">
      <w:pPr>
        <w:ind/>
        <w:jc w:val="right"/>
        <w:rPr>
          <w:sz w:val="28"/>
        </w:rPr>
      </w:pPr>
    </w:p>
    <w:p w14:paraId="B1000000">
      <w:pPr>
        <w:ind/>
        <w:jc w:val="right"/>
        <w:rPr>
          <w:sz w:val="28"/>
        </w:rPr>
      </w:pPr>
    </w:p>
    <w:p w14:paraId="B2000000">
      <w:pPr>
        <w:ind/>
        <w:jc w:val="right"/>
        <w:rPr>
          <w:sz w:val="28"/>
        </w:rPr>
      </w:pPr>
    </w:p>
    <w:p w14:paraId="B3000000">
      <w:pPr>
        <w:ind/>
        <w:jc w:val="right"/>
        <w:rPr>
          <w:sz w:val="28"/>
        </w:rPr>
      </w:pPr>
    </w:p>
    <w:p w14:paraId="B4000000">
      <w:pPr>
        <w:ind/>
        <w:jc w:val="right"/>
        <w:rPr>
          <w:sz w:val="28"/>
        </w:rPr>
      </w:pPr>
    </w:p>
    <w:p w14:paraId="B5000000">
      <w:pPr>
        <w:ind/>
        <w:jc w:val="right"/>
        <w:rPr>
          <w:sz w:val="28"/>
        </w:rPr>
      </w:pPr>
    </w:p>
    <w:p w14:paraId="B6000000">
      <w:pPr>
        <w:ind/>
        <w:jc w:val="right"/>
        <w:rPr>
          <w:sz w:val="28"/>
        </w:rPr>
      </w:pPr>
    </w:p>
    <w:p w14:paraId="B7000000">
      <w:pPr>
        <w:ind/>
        <w:jc w:val="right"/>
        <w:rPr>
          <w:sz w:val="28"/>
        </w:rPr>
      </w:pPr>
    </w:p>
    <w:p w14:paraId="B8000000">
      <w:pPr>
        <w:ind/>
        <w:jc w:val="right"/>
        <w:rPr>
          <w:sz w:val="28"/>
        </w:rPr>
      </w:pPr>
    </w:p>
    <w:sectPr>
      <w:headerReference r:id="rId1" w:type="default"/>
      <w:pgSz w:h="16838" w:orient="portrait" w:w="11906"/>
      <w:pgMar w:bottom="964" w:footer="709" w:gutter="0" w:header="709" w:left="1418" w:right="851" w:top="96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11" w:type="paragraph">
    <w:name w:val="Balloon Text"/>
    <w:basedOn w:val="Style_5"/>
    <w:link w:val="Style_11_ch"/>
    <w:rPr>
      <w:rFonts w:ascii="Segoe UI" w:hAnsi="Segoe UI"/>
      <w:sz w:val="18"/>
    </w:rPr>
  </w:style>
  <w:style w:styleId="Style_11_ch" w:type="character">
    <w:name w:val="Balloon Text"/>
    <w:basedOn w:val="Style_5_ch"/>
    <w:link w:val="Style_11"/>
    <w:rPr>
      <w:rFonts w:ascii="Segoe UI" w:hAnsi="Segoe UI"/>
      <w:sz w:val="18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563C1"/>
      <w:u w:val="single"/>
    </w:rPr>
  </w:style>
  <w:style w:styleId="Style_4_ch" w:type="character">
    <w:name w:val="Hyperlink"/>
    <w:link w:val="Style_4"/>
    <w:rPr>
      <w:color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5"/>
    <w:link w:val="Style_19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9_ch" w:type="character">
    <w:name w:val="footer"/>
    <w:basedOn w:val="Style_5_ch"/>
    <w:link w:val="Style_19"/>
    <w:rPr>
      <w:sz w:val="20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3" w:type="paragraph">
    <w:name w:val="List Paragraph"/>
    <w:basedOn w:val="Style_5"/>
    <w:link w:val="Style_3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5_ch"/>
    <w:link w:val="Style_3"/>
    <w:rPr>
      <w:rFonts w:ascii="Calibri" w:hAnsi="Calibri"/>
      <w:sz w:val="22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2025-07-04T06:10:15Z</dcterms:modified>
</cp:coreProperties>
</file>